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12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Applications and Data Criticality Analysis</w:t>
      </w:r>
    </w:p>
    <w:p w:rsidR="00000000" w:rsidDel="00000000" w:rsidP="00000000" w:rsidRDefault="00000000" w:rsidRPr="00000000" w14:paraId="00000002">
      <w:pPr>
        <w:pageBreakBefore w:val="0"/>
        <w:spacing w:after="120" w:lineRule="auto"/>
        <w:rPr>
          <w:b w:val="1"/>
          <w:sz w:val="15"/>
          <w:szCs w:val="15"/>
        </w:rPr>
      </w:pPr>
      <w:r w:rsidDel="00000000" w:rsidR="00000000" w:rsidRPr="00000000">
        <w:rPr>
          <w:b w:val="1"/>
          <w:sz w:val="15"/>
          <w:szCs w:val="15"/>
          <w:rtl w:val="0"/>
        </w:rPr>
        <w:t xml:space="preserve">Purpose:</w:t>
      </w:r>
    </w:p>
    <w:p w:rsidR="00000000" w:rsidDel="00000000" w:rsidP="00000000" w:rsidRDefault="00000000" w:rsidRPr="00000000" w14:paraId="00000003">
      <w:pPr>
        <w:pageBreakBefore w:val="0"/>
        <w:spacing w:after="120" w:lineRule="auto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To enable the continuation of critical business processes, to protect and secure ePHI during emergency mode operations.      </w:t>
      </w:r>
    </w:p>
    <w:p w:rsidR="00000000" w:rsidDel="00000000" w:rsidP="00000000" w:rsidRDefault="00000000" w:rsidRPr="00000000" w14:paraId="00000004">
      <w:pPr>
        <w:pageBreakBefore w:val="0"/>
        <w:spacing w:after="120" w:lineRule="auto"/>
        <w:rPr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spacing w:after="120" w:lineRule="auto"/>
        <w:rPr>
          <w:b w:val="1"/>
          <w:sz w:val="15"/>
          <w:szCs w:val="15"/>
        </w:rPr>
      </w:pPr>
      <w:r w:rsidDel="00000000" w:rsidR="00000000" w:rsidRPr="00000000">
        <w:rPr>
          <w:b w:val="1"/>
          <w:sz w:val="15"/>
          <w:szCs w:val="15"/>
          <w:rtl w:val="0"/>
        </w:rPr>
        <w:t xml:space="preserve">Policy:</w:t>
      </w:r>
    </w:p>
    <w:p w:rsidR="00000000" w:rsidDel="00000000" w:rsidP="00000000" w:rsidRDefault="00000000" w:rsidRPr="00000000" w14:paraId="00000006">
      <w:pPr>
        <w:pageBreakBefore w:val="0"/>
        <w:spacing w:after="120" w:lineRule="auto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Assess the relative criticality of specific applications and data in support of other contingency plan components.</w:t>
      </w:r>
      <w:r w:rsidDel="00000000" w:rsidR="00000000" w:rsidRPr="00000000">
        <w:rPr>
          <w:rFonts w:ascii="Trebuchet MS" w:cs="Trebuchet MS" w:eastAsia="Trebuchet MS" w:hAnsi="Trebuchet MS"/>
          <w:sz w:val="17"/>
          <w:szCs w:val="17"/>
          <w:rtl w:val="0"/>
        </w:rPr>
        <w:t xml:space="preserve"> </w:t>
      </w:r>
      <w:r w:rsidDel="00000000" w:rsidR="00000000" w:rsidRPr="00000000">
        <w:rPr>
          <w:sz w:val="15"/>
          <w:szCs w:val="15"/>
          <w:rtl w:val="0"/>
        </w:rPr>
        <w:t xml:space="preserve">The criticality analysis will serve as the basis for the recovery prioritization of ePHI and ePHI Systems during the disaster recovery plan.  </w:t>
      </w:r>
    </w:p>
    <w:p w:rsidR="00000000" w:rsidDel="00000000" w:rsidP="00000000" w:rsidRDefault="00000000" w:rsidRPr="00000000" w14:paraId="00000007">
      <w:pPr>
        <w:pageBreakBefore w:val="0"/>
        <w:spacing w:after="120" w:lineRule="auto"/>
        <w:rPr>
          <w:b w:val="1"/>
          <w:sz w:val="15"/>
          <w:szCs w:val="1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spacing w:after="120" w:lineRule="auto"/>
        <w:rPr>
          <w:b w:val="1"/>
          <w:sz w:val="15"/>
          <w:szCs w:val="15"/>
        </w:rPr>
      </w:pPr>
      <w:r w:rsidDel="00000000" w:rsidR="00000000" w:rsidRPr="00000000">
        <w:rPr>
          <w:b w:val="1"/>
          <w:sz w:val="15"/>
          <w:szCs w:val="15"/>
          <w:rtl w:val="0"/>
        </w:rPr>
        <w:t xml:space="preserve">Procedure: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spacing w:after="0" w:afterAutospacing="0" w:before="240" w:lineRule="auto"/>
        <w:ind w:left="72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The Privacy Officer will meet with the Information Security Officer to i</w:t>
      </w:r>
      <w:r w:rsidDel="00000000" w:rsidR="00000000" w:rsidRPr="00000000">
        <w:rPr>
          <w:sz w:val="15"/>
          <w:szCs w:val="15"/>
          <w:rtl w:val="0"/>
        </w:rPr>
        <w:t xml:space="preserve">dentify any and all computers, systems, applications, and data which are critical to the organization’s operation. 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15"/>
          <w:szCs w:val="15"/>
          <w:u w:val="none"/>
        </w:rPr>
      </w:pPr>
      <w:r w:rsidDel="00000000" w:rsidR="00000000" w:rsidRPr="00000000">
        <w:rPr>
          <w:sz w:val="15"/>
          <w:szCs w:val="15"/>
          <w:rtl w:val="0"/>
        </w:rPr>
        <w:t xml:space="preserve">The results will be documented on the Criticality Analysis tab of the Periodic Ledger workbook.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Data and AWS services will be restored as described in the Data Backup and Contingency Plan policies.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spacing w:after="360" w:before="0" w:beforeAutospacing="0" w:lineRule="auto"/>
        <w:ind w:left="720" w:hanging="360"/>
        <w:rPr>
          <w:sz w:val="15"/>
          <w:szCs w:val="15"/>
          <w:u w:val="none"/>
        </w:rPr>
      </w:pPr>
      <w:r w:rsidDel="00000000" w:rsidR="00000000" w:rsidRPr="00000000">
        <w:rPr>
          <w:sz w:val="15"/>
          <w:szCs w:val="15"/>
          <w:rtl w:val="0"/>
        </w:rPr>
        <w:t xml:space="preserve">This procedure will be carried out annually or in response to changes with critical applications and data tracked on the Criticality Analysis Worksheet of the Periodic Task Ledger.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